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ESTUDIO DEL ENTORNO GENERAL: ANÁLISIS PESTEL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El entorno general incluye los factores externos que afectan a todas las empresas y sobre los que no existe control directo.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LOS 6 FACTORES DEL ANÁLISIS PESTEL: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Factores Políticos (P): Decisiones de gobiernos.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Ejemplos: Ayudas, subvenciones, política fiscal, estabilidad e impuestos.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Factores Económicos (E): Situación económica general.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Ejemplos: Tipos de interés, inflación, desempleo y poder adquisitivo.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Factores Socioculturales (S): Hábitos y comportamiento social.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Ejemplos: Nivel educativo, estilos de vida, demografía y valores.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Factores Tecnológicos (T): Avances en procesos y productos.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Ejemplos: Innovación, digitalización, inversión en I+D y e-commerce.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Factores Ecológicos (E): Sostenibilidad y medio ambiente.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Ejemplos: Cambio climático, energías renovables y gestión de residuos.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Factores Legales (L): Leyes y normas vigentes.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Ejemplos: Legislación laboral, SMI, prevención de riesgos y protección de datos.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